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341910" w:rsidRPr="006062FE" w:rsidTr="00FD66C9">
        <w:trPr>
          <w:trHeight w:val="242"/>
          <w:jc w:val="center"/>
        </w:trPr>
        <w:tc>
          <w:tcPr>
            <w:tcW w:w="14888" w:type="dxa"/>
            <w:gridSpan w:val="6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 projekcie zmian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UoSO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proponowane jest dodanie rozdziału 3b: „Sprawdzian, egzamin gimnazjalny i egzamin maturalny oraz egzamin potwierdzający kwalifikacje w zawodzie” oraz wydanie:</w:t>
            </w:r>
          </w:p>
          <w:p w:rsidR="00341910" w:rsidRPr="006062FE" w:rsidRDefault="00341910" w:rsidP="00FD66C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rozporządzenia określającego szczegółowe warunki i sposób przeprowadzania sprawdzianu, egzaminu gimnazjalnego i egzaminu maturalnego.</w:t>
            </w:r>
          </w:p>
          <w:p w:rsidR="00341910" w:rsidRPr="006062FE" w:rsidRDefault="00341910" w:rsidP="00FD66C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rozporządzenia określającego szczegółowe warunki i sposób przeprowadzania egzaminu potwierdzającego kwalifikacje w zawodzie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deklaracja wyboru języka obcego nowożytnego na egzamin gimnazjalny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brak wzoru 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uczeń/rodzice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1 raz 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sz w:val="20"/>
                <w:szCs w:val="20"/>
              </w:rPr>
              <w:t>od 1.09.2014r.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do dnia 30 września roku szkolnego, w którym jest przeprowadzany sprawdzian lub egzamin gimnazjalny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35 ust. 3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pisemna informację o: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1) zmianie języka obcego nowożytnego wskazanego w deklaracji,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2) rezygnacji z przystąpienia do części trzeciej egzaminu gimnazjalnego na poziomie rozszerzonym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uczeń/rodzice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sz w:val="20"/>
                <w:szCs w:val="20"/>
              </w:rPr>
              <w:t>od 1.09.2014r.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nie później niż na 3 miesiące przed terminem sprawdzianu lub egzaminu gimnazjalnego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35 ust.7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deklaracja przystąpienia do egzaminu gimnazjalnego w języku danej mniejszości narodowej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sz w:val="20"/>
                <w:szCs w:val="20"/>
              </w:rPr>
              <w:t>od 1.09.2014r.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do dnia 30 września roku szkolnego, w którym jest przeprowadzany sprawdzian lub egzamin gimnazjalny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36 ust. 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wykaz uczniów, którzy mają zamiar przystąpić do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sprawdzianu i egzaminu gimnazjalnego w języku danej mniejszości narodowej 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 raz w 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sz w:val="20"/>
                <w:szCs w:val="20"/>
              </w:rPr>
              <w:lastRenderedPageBreak/>
              <w:t>od 1.09.2014r.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nie później niż do dnia 10 października roku szkolnego, w którym jest przeprowadzany sprawdzian lub egzamin gimnazjalny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§ 36 ust. 4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lista uczniów przystępujących odpowiednio do sprawdzianu, egzaminu gimnazjalnego 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 raz w roku szkolnym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41 ust. pkt 1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informacja pisemna do dyrektora szkoły o rezygnacji z przystąpienia do sprawdzianu lub egzaminu gimnazjalnego w języku danej mniejszości narodowej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uczeń/rodzice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nie później niż na 3 miesiące przed terminem sprawdzianu lub egzaminu gimnazjalnego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36 ust. 5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wniosek do rady pedagogicznej o wydanie opinii w sprawie możliwości przystąpienia do sprawdzianu/egzaminu gimnazjalnego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w warunkach dostosowanych do indywidualnych potrzeb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edukacyjnych i możliwości psychofizyczne ucznia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wniosek nauczyciela lub specjalisty wykonującego w szkole zadania z zakresu pomocy psychologiczno-pedagogicznej i po uzyskaniu zgody rodziców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(prawnych opiekunów) albo pełnoletniego ucznia (słuchacza) lub na wniosek rodziców (prawnych opiekunów) albo pełnoletniego ucznia (słuchacza).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w razie potrzeby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37 ust. 5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opinia rady pedagogicznej w sprawie możliwości przystąpienia do sprawdzianu/egzaminu gimnazjalnego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w warunkach dostosowanych do indywidualnych potrzeb edukacyjnych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i możliwości psychofizyczne ucznia;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uchwała rady pedagogicznej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rada pedagogiczna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37 ust. 5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rodziców  o zwolnienie ucznia ze sprzężonymi niepełnosprawnościami z obowiązku przystąpienia do sprawdzianu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rodzice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38 ust. 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wniosek rodziców, pozytywnie zaopiniowany przez dyrektora szkoły,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o zwolnieniu ucznia ze sprzężonymi niepełnosprawnościami, który nie rokuje kontynuowania nauki w szkole ponadgimnazjalnej,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z obowiązku przystąpienia do egzaminu gimnazjalnego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rodzice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38 ust. 3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wykaz uczniów, którzy nie przystąpili do sprawdzianu i egzaminu gimnazjalnego lub jego części/zakresów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 raz w roku szkolnym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niezwłocznie po zakończeniu sprawdzianu lub egzaminu gimnazjalnego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41 ust. 1 pkt 8 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upoważnienie dla członka zespołu egzaminacyjnego do odbioru zestawów zadań do przeprowadzenia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sprawdzianu/egzaminu gimnazjalnego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brak wzoru 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 raz w roku szkolnym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41 ust. 2 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dyrektora szkoły do dyrektora OKE o zwolnieniu ucznia z obowiązku przystąpienia do sprawdzianu/egzaminu gimnazjalnego (lub jego części/zakresu), w szczególnych przypadkach losowych i zdrowotnych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</w:t>
            </w:r>
            <w:r w:rsidRPr="006062FE">
              <w:t xml:space="preserve"> </w:t>
            </w:r>
            <w:r w:rsidRPr="006062FE">
              <w:rPr>
                <w:rFonts w:ascii="Arial" w:hAnsi="Arial" w:cs="Arial"/>
                <w:sz w:val="20"/>
                <w:szCs w:val="20"/>
              </w:rPr>
              <w:t>w porozumieniu z rodzicami (prawnymi opiekunami) ucznia albo ze słuchaczem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sz w:val="20"/>
                <w:szCs w:val="20"/>
              </w:rPr>
              <w:t>od 1.09.2014r.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dodatkowym terminie, ustalonym w harmonogramie przeprowadzania sprawdzianu i egzaminu gimnazjalnego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49 ust. 4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wniosek o udostepnienie do wglądu sprawdzonych 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i ocenionych prac ucznia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uczeń/rodzic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50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protokół przebiegu sprawdzianu/egzaminu gimnazjalnego;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 raz w roku szkolnym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52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wniosek do rady pedagogicznej o wydanie opinii w sprawie możliwości przystąpienia do egzaminu maturalnego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w warunkach dostosowanych do indywidualnych potrzeb edukacyjnych i możliwości psychofizyczne ucznia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nauczyciel –rodzic/uczeń 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59 ust. 5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opinia rady pedagogicznej w sprawie możliwości przystąpienia do sprawdzianu/egzaminu gimnazjalnego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w warunkach dostosowanych do indywidualnych potrzeb edukacyjnych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i możliwości psychofizyczne ucznia;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rada pedagogiczna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59 ust. 5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deklaracja przystąpienia do egzaminu maturalnego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uczeń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wstępną deklarację uczeń (słuchacz) lub absolwent składa nie później niż do dnia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30 września, a ostateczną deklarację nie później niż do dnia 7 lutego roku szkolnego, w którym zamierza przystąpić do egzaminu maturalnego.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§ 63 ust. 1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oświadczenie zdających o wyrażeniu/niewyrażeniu zgody na przetwarzanie danych osobowych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uczeń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 raz w roku szkolnym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63 ust. 5 rozporządzenia 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informacja obejmująca dane zawarte w deklaracjach i oświadczeniach (dyrektor szkoły przekazuje w formie elektronicznej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oke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 raz w roku szkolnym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nie później niż do dnia 15 lutego roku szkolnego, w którym jest przeprowadzany egzamin maturalny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63 ust. 8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harmonogram części ustnej egzaminu maturalnego;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 raz w roku szkolnym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nie później niż na 2 miesiące przed terminem części pisemnej egzaminu maturalnego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65 ust. 1 pkt 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upoważnienie dla członka zespołu egzaminacyjnego do odbioru arkuszy egzaminacyjnych do przeprowadzenia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egzaminu maturalnego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 raz w roku szkolnym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65 ust. 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lista tematów do części ustnej egzaminu maturalnego;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nauczyciele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 raz w roku szkolnym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§69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lista zdających cześć ustną egzaminu maturalnego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przewodniczący zespołu przedmiotowego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1 raz w roku 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78 ust. 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o umożliwienie przystąpienia do egzaminu maturalnego w terminie dodatkowym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absolwent lub jego rodzice (prawni opiekunowie)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najpóźniej w dniu, w którym odbywa się egzamin z danego przedmiotu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102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o wgląd do sprawdzonych i ocenionych prac egzaminacyjnych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absolwent/zdający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107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protokoły części ustnej egzaminu maturalnego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przewodniczący zespołu przedmiotowego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 raz w roku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108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zastrzeżenia do dyrektora OKE w przypadku uznanie przez zdającego, że w trakcie przeprowadzania sprawdzianu, egzaminu gimnazjalnego/egzaminu maturalnego, naruszone zostały przepisy przeprowadzania tych egzaminów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uczeń (słuchacz), absolwent lub osoba, o której mowa w § 109 ust. 2 pkt 3 i ust. 3 oraz § 115 ust. 3 rozporządzenia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terminie 2 dni od dnia przeprowadzenia odpowiednio sprawdzianu, odpowiedniej części egzaminu gimnazjalnego, egzaminu maturalnego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146 ust. 1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(Dz. U. Nr 83, poz. 562,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deklaracja zdającego przystąpienia do egzaminu potwierdzającego kwalifikacje w zawodzie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brak wzoru 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uczeń/słuchacz/uczestnik kwalifikacyjnego kursu zawodowego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każdorazowo przed przystąpieniem do egzaminu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nie później niż na 4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miesiące przed terminem egzaminu zawodowego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§ 115 ust. 1 i ust.5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sporządzenie na podstawie deklaracji wykazu uczniów (słuchaczy zamierzających przystąpić do egzaminu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 przesyła dyrektorowi komisji okręgowej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terminie 7 dni od dnia upływu terminu składania deklaracji</w:t>
            </w: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115 ust. 7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Del="00242BA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powołanie szkolnego zespołu egzaminacyjnego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szkoły/placówki, jako przewodniczący szkolnego zespołu nadzorującego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nie później niż na miesiąc przed terminem egzaminu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118 ust. 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powołanie zastępcy przewodniczącego szkolnego zespołu nadzorującego/egzaminacyjnego 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szkoły/placówki, jako przewodniczący szkolnego zespołu nadzorującego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nie później niż na miesiąc przed terminem egzaminu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§118 ust. 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powołanie zespołów nadzorujących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szkoły/placówki, jako przewodniczący szkolnego zespołu nadzorującego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nie później niż na miesiąc przed terminem egzaminu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§120 ust. 1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przekazanie informacji o zdających egzamin do CKE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lub dwa razy do 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pisemne poinformowanie zdającego o dostosowaniu warunków i form przeprowadzania egzaminu do jego dysfunkcji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 jako przewodniczący szkolnego zespołu nadzorującego/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kierownik ośrodka egzaminacyjnego informuje zdającego na piśmie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o dostosowaniu warunków i form przeprowadzania egzaminu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lub dwa razy do 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pisemna informacja o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zgłoszonych do egzaminu zawodowego uczniach, którzy nie ukończyli szkoły (formuła dotychczasowa)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 / placówki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raz lub dwa razy do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rozporządzenie Ministra Edukacji Narodowej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zawiadomienie dyrektora OKE, że egzamin lub jego część organizowany jest poza siedzibą szkoły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 / placówki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lub dwa razy do 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decyzja o przerwaniu egzaminu i jego unieważnieniu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przewodniczący szkolnego zespołu nadzorującego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incydentalnie – możliwe raz lub dwa razy do 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upoważnienie do odbioru przesyłki zawierającej materiały egzaminacyjne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przewodniczący szkolnego zespołu nadzorującego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lub dwa razy do 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protokół zbiorczy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przewodniczący szkolnego zespołu nadzorującego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lub dwa razy do 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upoważnienie do dostępu do materiałów egzaminacyjnych pod nieobecność PSZN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przewodniczący szkolnego zespołu nadzorującego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lub dwa razy do 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powołanie zastępcy kierownika ośrodka egzaminacyjnego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kierownik ośrodka egzaminacyjnego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lub dwa razy do 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powołanie zespołu nadzorującego etap praktyczny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kierownik ośrodka egzaminacyjnego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lub dwa razy do 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powołanie zespołu egzaminacyjnego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kierownik ośrodka egzaminacyjnego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lub dwa razy do 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protokół z przebiegu etapu praktycznego egzaminu potwierdzającego kwalifikacje w zawodzie/części praktycznej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przewodniczący zespołu egzaminacyjnego/przewodniczący zespołu nadzorującego etap praktyczny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lub dwa razy do roku dla każdego egzaminu przeprowadzanego w danej sali dla danej zmiany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lista zdających etap praktyczny w sali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przewodniczący zespołu egzaminacyjnego/przewodniczący zespołu nadzorującego etap praktyczny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lub dwa razy do roku dla każdego egzaminu przeprowadzanego w danej sali dla danej zmiany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protokół zbiorczy etapu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praktycznego egzaminu potwierdzającego kwalifikacje zawodowe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kierownik ośrodka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egzaminacyjnego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raz lub dwa razy do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roku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rozporządzenie Ministra Edukacji Narodowej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o udzielenie upoważnienia do zorganizowania części pisemnej egzaminu w formie elektronicznej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szkoły/placówki/pracodawca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 nie później niż do 1 września roku szkolnego, w którym ma być przeprowadzona część pisemna egzaminu z wykorzystaniem elektronicznego 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117b ust. 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o udzielenie upoważnienia do zorganizowania części praktycznej egzaminu</w:t>
            </w:r>
          </w:p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szkoły/placówki/pracodawca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przed egzaminem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126 ust. 5rozporządzenie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tr w:rsidR="00341910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341910" w:rsidRPr="007007DC" w:rsidRDefault="00341910" w:rsidP="007007D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powołanie zespołu nadzorującego przebieg części praktycznej egzaminu potwierdzającego kwalifikacje w zawodzie</w:t>
            </w:r>
          </w:p>
        </w:tc>
        <w:tc>
          <w:tcPr>
            <w:tcW w:w="210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kierownik ośrodka egzaminacyjnego</w:t>
            </w:r>
          </w:p>
        </w:tc>
        <w:tc>
          <w:tcPr>
            <w:tcW w:w="2074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każdorazowo przed egzaminem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129 ust. 2 rozporządzenie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sprawdzianów egzaminów w szkołach publicznych (Dz. U. Nr 83, poz. 562, z </w:t>
            </w:r>
            <w:proofErr w:type="spellStart"/>
            <w:r w:rsidRPr="006062FE">
              <w:rPr>
                <w:rFonts w:ascii="Arial" w:hAnsi="Arial" w:cs="Arial"/>
                <w:i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i/>
                <w:sz w:val="20"/>
                <w:szCs w:val="20"/>
              </w:rPr>
              <w:t>. zm.);</w:t>
            </w:r>
          </w:p>
          <w:p w:rsidR="00341910" w:rsidRPr="006062FE" w:rsidRDefault="00341910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procedury CKE</w:t>
            </w:r>
          </w:p>
        </w:tc>
      </w:tr>
      <w:bookmarkEnd w:id="0"/>
    </w:tbl>
    <w:p w:rsidR="00F10A85" w:rsidRPr="00AB58EB" w:rsidRDefault="00F10A85" w:rsidP="00AB58EB"/>
    <w:sectPr w:rsidR="00F10A85" w:rsidRPr="00AB58EB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E2" w:rsidRDefault="005E54E2" w:rsidP="00E15521">
      <w:pPr>
        <w:spacing w:after="0" w:line="240" w:lineRule="auto"/>
      </w:pPr>
      <w:r>
        <w:separator/>
      </w:r>
    </w:p>
  </w:endnote>
  <w:endnote w:type="continuationSeparator" w:id="0">
    <w:p w:rsidR="005E54E2" w:rsidRDefault="005E54E2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D3540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007DC">
      <w:rPr>
        <w:noProof/>
      </w:rPr>
      <w:t>14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E2" w:rsidRDefault="005E54E2" w:rsidP="00E15521">
      <w:pPr>
        <w:spacing w:after="0" w:line="240" w:lineRule="auto"/>
      </w:pPr>
      <w:r>
        <w:separator/>
      </w:r>
    </w:p>
  </w:footnote>
  <w:footnote w:type="continuationSeparator" w:id="0">
    <w:p w:rsidR="005E54E2" w:rsidRDefault="005E54E2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7007DC" w:rsidTr="007007DC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7DC" w:rsidRDefault="007007DC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7DC" w:rsidRDefault="007007DC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7DC" w:rsidRDefault="007007DC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7DC" w:rsidRDefault="007007DC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7DC" w:rsidRDefault="007007DC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7DC" w:rsidRDefault="007007DC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7007DC" w:rsidTr="007007DC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7DC" w:rsidRDefault="007007DC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7DC" w:rsidRDefault="007007DC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7DC" w:rsidRDefault="007007DC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7DC" w:rsidRDefault="007007DC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7DC" w:rsidRDefault="007007DC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7DC" w:rsidRDefault="007007DC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7007DC" w:rsidRDefault="007007DC" w:rsidP="007007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871B9D"/>
    <w:multiLevelType w:val="hybridMultilevel"/>
    <w:tmpl w:val="05B2F5E8"/>
    <w:lvl w:ilvl="0" w:tplc="D24EB2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1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44"/>
  </w:num>
  <w:num w:numId="4">
    <w:abstractNumId w:val="21"/>
  </w:num>
  <w:num w:numId="5">
    <w:abstractNumId w:val="27"/>
  </w:num>
  <w:num w:numId="6">
    <w:abstractNumId w:val="13"/>
  </w:num>
  <w:num w:numId="7">
    <w:abstractNumId w:val="3"/>
  </w:num>
  <w:num w:numId="8">
    <w:abstractNumId w:val="33"/>
  </w:num>
  <w:num w:numId="9">
    <w:abstractNumId w:val="39"/>
  </w:num>
  <w:num w:numId="10">
    <w:abstractNumId w:val="5"/>
  </w:num>
  <w:num w:numId="11">
    <w:abstractNumId w:val="32"/>
  </w:num>
  <w:num w:numId="12">
    <w:abstractNumId w:val="18"/>
  </w:num>
  <w:num w:numId="13">
    <w:abstractNumId w:val="34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49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2"/>
  </w:num>
  <w:num w:numId="24">
    <w:abstractNumId w:val="19"/>
  </w:num>
  <w:num w:numId="25">
    <w:abstractNumId w:val="26"/>
  </w:num>
  <w:num w:numId="26">
    <w:abstractNumId w:val="43"/>
  </w:num>
  <w:num w:numId="27">
    <w:abstractNumId w:val="51"/>
  </w:num>
  <w:num w:numId="28">
    <w:abstractNumId w:val="36"/>
  </w:num>
  <w:num w:numId="29">
    <w:abstractNumId w:val="30"/>
  </w:num>
  <w:num w:numId="30">
    <w:abstractNumId w:val="12"/>
  </w:num>
  <w:num w:numId="31">
    <w:abstractNumId w:val="29"/>
  </w:num>
  <w:num w:numId="32">
    <w:abstractNumId w:val="10"/>
  </w:num>
  <w:num w:numId="33">
    <w:abstractNumId w:val="41"/>
  </w:num>
  <w:num w:numId="34">
    <w:abstractNumId w:val="38"/>
  </w:num>
  <w:num w:numId="35">
    <w:abstractNumId w:val="8"/>
  </w:num>
  <w:num w:numId="36">
    <w:abstractNumId w:val="17"/>
  </w:num>
  <w:num w:numId="37">
    <w:abstractNumId w:val="1"/>
  </w:num>
  <w:num w:numId="38">
    <w:abstractNumId w:val="50"/>
  </w:num>
  <w:num w:numId="39">
    <w:abstractNumId w:val="28"/>
  </w:num>
  <w:num w:numId="40">
    <w:abstractNumId w:val="46"/>
  </w:num>
  <w:num w:numId="41">
    <w:abstractNumId w:val="47"/>
  </w:num>
  <w:num w:numId="42">
    <w:abstractNumId w:val="42"/>
  </w:num>
  <w:num w:numId="43">
    <w:abstractNumId w:val="25"/>
  </w:num>
  <w:num w:numId="44">
    <w:abstractNumId w:val="22"/>
  </w:num>
  <w:num w:numId="45">
    <w:abstractNumId w:val="40"/>
  </w:num>
  <w:num w:numId="46">
    <w:abstractNumId w:val="23"/>
  </w:num>
  <w:num w:numId="47">
    <w:abstractNumId w:val="48"/>
  </w:num>
  <w:num w:numId="48">
    <w:abstractNumId w:val="31"/>
  </w:num>
  <w:num w:numId="49">
    <w:abstractNumId w:val="11"/>
  </w:num>
  <w:num w:numId="50">
    <w:abstractNumId w:val="45"/>
  </w:num>
  <w:num w:numId="51">
    <w:abstractNumId w:val="16"/>
  </w:num>
  <w:num w:numId="52">
    <w:abstractNumId w:val="6"/>
  </w:num>
  <w:num w:numId="53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41910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54E2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7DC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B58EB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3540F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94119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979D-0822-45F0-9C37-0ACF0F0B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3550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6</cp:revision>
  <cp:lastPrinted>2013-07-19T08:24:00Z</cp:lastPrinted>
  <dcterms:created xsi:type="dcterms:W3CDTF">2014-11-24T08:50:00Z</dcterms:created>
  <dcterms:modified xsi:type="dcterms:W3CDTF">2014-11-24T16:04:00Z</dcterms:modified>
</cp:coreProperties>
</file>